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7D9" w:rsidRDefault="008437D9" w:rsidP="008437D9">
      <w:pPr>
        <w:keepNext/>
      </w:pPr>
      <w:r w:rsidRPr="00881976"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 wp14:anchorId="08958D50" wp14:editId="6C5AF12E">
            <wp:extent cx="5286376" cy="3152775"/>
            <wp:effectExtent l="0" t="0" r="9525" b="9525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A4B61" w:rsidRPr="00BA1744" w:rsidRDefault="00B9093E" w:rsidP="008437D9">
      <w:pPr>
        <w:pStyle w:val="Caption"/>
        <w:rPr>
          <w:rFonts w:ascii="Times New Roman" w:hAnsi="Times New Roman" w:cs="Times New Roman"/>
          <w:iCs/>
          <w:color w:val="000000" w:themeColor="text1"/>
          <w:sz w:val="22"/>
          <w:lang w:eastAsia="en-US"/>
        </w:rPr>
      </w:pPr>
      <w:proofErr w:type="gramStart"/>
      <w:r>
        <w:rPr>
          <w:rFonts w:ascii="Times New Roman" w:hAnsi="Times New Roman" w:cs="Times New Roman"/>
          <w:iCs/>
          <w:color w:val="000000" w:themeColor="text1"/>
          <w:sz w:val="22"/>
          <w:lang w:eastAsia="en-US"/>
        </w:rPr>
        <w:t>Figure 3.</w:t>
      </w:r>
      <w:proofErr w:type="gramEnd"/>
      <w:r>
        <w:rPr>
          <w:rFonts w:ascii="Times New Roman" w:hAnsi="Times New Roman" w:cs="Times New Roman"/>
          <w:iCs/>
          <w:color w:val="000000" w:themeColor="text1"/>
          <w:sz w:val="22"/>
          <w:lang w:eastAsia="en-US"/>
        </w:rPr>
        <w:t xml:space="preserve"> T</w:t>
      </w:r>
      <w:r w:rsidR="005A4B61" w:rsidRPr="00BA1744">
        <w:rPr>
          <w:rFonts w:ascii="Times New Roman" w:hAnsi="Times New Roman" w:cs="Times New Roman"/>
          <w:iCs/>
          <w:color w:val="000000" w:themeColor="text1"/>
          <w:sz w:val="22"/>
          <w:lang w:eastAsia="en-US"/>
        </w:rPr>
        <w:t xml:space="preserve">he trend of confirmed cases over the years 2000-2019 (n=51519) </w:t>
      </w:r>
    </w:p>
    <w:p w:rsidR="008437D9" w:rsidRPr="00881976" w:rsidRDefault="008437D9" w:rsidP="008437D9">
      <w:pPr>
        <w:pStyle w:val="Caption"/>
        <w:rPr>
          <w:rFonts w:ascii="Times New Roman" w:hAnsi="Times New Roman" w:cs="Times New Roman"/>
        </w:rPr>
      </w:pPr>
      <w:r w:rsidRPr="00BA1744">
        <w:rPr>
          <w:rFonts w:ascii="Times New Roman" w:hAnsi="Times New Roman" w:cs="Times New Roman"/>
          <w:i/>
          <w:iCs/>
          <w:color w:val="000000" w:themeColor="text1"/>
          <w:sz w:val="22"/>
          <w:lang w:eastAsia="en-US"/>
        </w:rPr>
        <w:t>Source: Data from ECDC</w:t>
      </w:r>
      <w:r w:rsidRPr="00BA1744">
        <w:rPr>
          <w:rFonts w:ascii="Times New Roman" w:hAnsi="Times New Roman" w:cs="Times New Roman"/>
          <w:i/>
          <w:iCs/>
          <w:sz w:val="22"/>
        </w:rPr>
        <w:t xml:space="preserve"> </w:t>
      </w:r>
      <w:r w:rsidRPr="2F170611">
        <w:rPr>
          <w:rFonts w:ascii="Times New Roman" w:hAnsi="Times New Roman" w:cs="Times New Roman"/>
          <w:i/>
          <w:iCs/>
        </w:rPr>
        <w:t>(https://register.ecdc.europa.eu/)</w:t>
      </w:r>
    </w:p>
    <w:p w:rsidR="00E7225A" w:rsidRDefault="00B9093E">
      <w:bookmarkStart w:id="0" w:name="_GoBack"/>
      <w:bookmarkEnd w:id="0"/>
    </w:p>
    <w:sectPr w:rsidR="00E72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7D9"/>
    <w:rsid w:val="005A4B61"/>
    <w:rsid w:val="008437D9"/>
    <w:rsid w:val="009D18FA"/>
    <w:rsid w:val="00A6290A"/>
    <w:rsid w:val="00B9093E"/>
    <w:rsid w:val="00BA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437D9"/>
    <w:pPr>
      <w:spacing w:line="240" w:lineRule="auto"/>
      <w:jc w:val="both"/>
    </w:pPr>
    <w:rPr>
      <w:rFonts w:eastAsia="Times New Roman"/>
      <w:b/>
      <w:bCs/>
      <w:color w:val="4F81BD" w:themeColor="accent1"/>
      <w:sz w:val="18"/>
      <w:szCs w:val="18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7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437D9"/>
    <w:pPr>
      <w:spacing w:line="240" w:lineRule="auto"/>
      <w:jc w:val="both"/>
    </w:pPr>
    <w:rPr>
      <w:rFonts w:eastAsia="Times New Roman"/>
      <w:b/>
      <w:bCs/>
      <w:color w:val="4F81BD" w:themeColor="accent1"/>
      <w:sz w:val="18"/>
      <w:szCs w:val="18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7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Sheet12!$L$5</c:f>
              <c:strCache>
                <c:ptCount val="1"/>
                <c:pt idx="0">
                  <c:v>Number of cases</c:v>
                </c:pt>
              </c:strCache>
            </c:strRef>
          </c:tx>
          <c:invertIfNegative val="0"/>
          <c:cat>
            <c:multiLvlStrRef>
              <c:f>Sheet12!$J$6:$K$24</c:f>
              <c:multiLvlStrCache>
                <c:ptCount val="19"/>
                <c:lvl>
                  <c:pt idx="0">
                    <c:v>2000</c:v>
                  </c:pt>
                  <c:pt idx="1">
                    <c:v>2001</c:v>
                  </c:pt>
                  <c:pt idx="2">
                    <c:v>2002</c:v>
                  </c:pt>
                  <c:pt idx="3">
                    <c:v>2003</c:v>
                  </c:pt>
                  <c:pt idx="4">
                    <c:v>2004</c:v>
                  </c:pt>
                  <c:pt idx="5">
                    <c:v>2005</c:v>
                  </c:pt>
                  <c:pt idx="6">
                    <c:v>2006</c:v>
                  </c:pt>
                  <c:pt idx="7">
                    <c:v>2007</c:v>
                  </c:pt>
                  <c:pt idx="8">
                    <c:v>2008</c:v>
                  </c:pt>
                  <c:pt idx="9">
                    <c:v>2009</c:v>
                  </c:pt>
                  <c:pt idx="10">
                    <c:v>2010</c:v>
                  </c:pt>
                  <c:pt idx="11">
                    <c:v>2012</c:v>
                  </c:pt>
                  <c:pt idx="12">
                    <c:v>2013</c:v>
                  </c:pt>
                  <c:pt idx="13">
                    <c:v>2014</c:v>
                  </c:pt>
                  <c:pt idx="14">
                    <c:v>2015</c:v>
                  </c:pt>
                  <c:pt idx="15">
                    <c:v>2016</c:v>
                  </c:pt>
                  <c:pt idx="16">
                    <c:v>2017</c:v>
                  </c:pt>
                  <c:pt idx="17">
                    <c:v>2018</c:v>
                  </c:pt>
                  <c:pt idx="18">
                    <c:v>2019</c:v>
                  </c:pt>
                </c:lvl>
                <c:lvl>
                  <c:pt idx="0">
                    <c:v>Year</c:v>
                  </c:pt>
                </c:lvl>
              </c:multiLvlStrCache>
            </c:multiLvlStrRef>
          </c:cat>
          <c:val>
            <c:numRef>
              <c:f>Sheet12!$L$6:$L$24</c:f>
              <c:numCache>
                <c:formatCode>General</c:formatCode>
                <c:ptCount val="19"/>
                <c:pt idx="0">
                  <c:v>2629</c:v>
                </c:pt>
                <c:pt idx="1">
                  <c:v>2497</c:v>
                </c:pt>
                <c:pt idx="2">
                  <c:v>1952</c:v>
                </c:pt>
                <c:pt idx="3">
                  <c:v>3225</c:v>
                </c:pt>
                <c:pt idx="4">
                  <c:v>2481</c:v>
                </c:pt>
                <c:pt idx="5">
                  <c:v>2651</c:v>
                </c:pt>
                <c:pt idx="6">
                  <c:v>3756</c:v>
                </c:pt>
                <c:pt idx="7">
                  <c:v>2267</c:v>
                </c:pt>
                <c:pt idx="8">
                  <c:v>2513</c:v>
                </c:pt>
                <c:pt idx="9">
                  <c:v>3513</c:v>
                </c:pt>
                <c:pt idx="10">
                  <c:v>4049</c:v>
                </c:pt>
                <c:pt idx="11">
                  <c:v>1983</c:v>
                </c:pt>
                <c:pt idx="12">
                  <c:v>2714</c:v>
                </c:pt>
                <c:pt idx="13">
                  <c:v>1892</c:v>
                </c:pt>
                <c:pt idx="14">
                  <c:v>1786</c:v>
                </c:pt>
                <c:pt idx="15">
                  <c:v>2542</c:v>
                </c:pt>
                <c:pt idx="16">
                  <c:v>2832</c:v>
                </c:pt>
                <c:pt idx="17">
                  <c:v>2852</c:v>
                </c:pt>
                <c:pt idx="18">
                  <c:v>2975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F9B-46DD-B648-D89F5DE69ED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axId val="336146816"/>
        <c:axId val="336596992"/>
      </c:barChart>
      <c:catAx>
        <c:axId val="33614681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336596992"/>
        <c:crosses val="autoZero"/>
        <c:auto val="1"/>
        <c:lblAlgn val="ctr"/>
        <c:lblOffset val="100"/>
        <c:noMultiLvlLbl val="0"/>
      </c:catAx>
      <c:valAx>
        <c:axId val="336596992"/>
        <c:scaling>
          <c:orientation val="minMax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cases 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3361468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</dc:creator>
  <cp:lastModifiedBy>MW</cp:lastModifiedBy>
  <cp:revision>4</cp:revision>
  <dcterms:created xsi:type="dcterms:W3CDTF">2021-03-16T10:08:00Z</dcterms:created>
  <dcterms:modified xsi:type="dcterms:W3CDTF">2021-04-02T10:13:00Z</dcterms:modified>
</cp:coreProperties>
</file>